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2" w:type="dxa"/>
        <w:tblCellMar>
          <w:left w:w="10" w:type="dxa"/>
          <w:right w:w="10" w:type="dxa"/>
        </w:tblCellMar>
        <w:tblLook w:val="0000" w:firstRow="0" w:lastRow="0" w:firstColumn="0" w:lastColumn="0" w:noHBand="0" w:noVBand="0"/>
      </w:tblPr>
      <w:tblGrid>
        <w:gridCol w:w="5648"/>
        <w:gridCol w:w="291"/>
        <w:gridCol w:w="2895"/>
      </w:tblGrid>
      <w:tr w:rsidR="005275F3">
        <w:trPr>
          <w:trHeight w:val="1"/>
        </w:trPr>
        <w:tc>
          <w:tcPr>
            <w:tcW w:w="5648"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5275F3">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b/>
                <w:sz w:val="24"/>
              </w:rPr>
            </w:pPr>
          </w:p>
          <w:p w:rsidR="005275F3" w:rsidRDefault="005275F3">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UNITED STATES BANKRUPTCY COURT</w:t>
            </w: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SOUTHERN DISTRICT OF NEW YORK</w:t>
            </w: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 re:</w:t>
            </w:r>
          </w:p>
          <w:p w:rsidR="005275F3" w:rsidRDefault="005275F3">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275F3" w:rsidRDefault="005275F3">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Debtor(s).</w:t>
            </w:r>
          </w:p>
          <w:p w:rsidR="005275F3" w:rsidRDefault="003E6C06">
            <w:pPr>
              <w:tabs>
                <w:tab w:val="left" w:pos="0"/>
                <w:tab w:val="left" w:pos="720"/>
                <w:tab w:val="left" w:pos="1440"/>
                <w:tab w:val="left" w:pos="2160"/>
                <w:tab w:val="left" w:pos="2880"/>
                <w:tab w:val="left" w:pos="3600"/>
                <w:tab w:val="left" w:pos="4320"/>
                <w:tab w:val="left" w:pos="5040"/>
                <w:tab w:val="left" w:pos="5760"/>
              </w:tabs>
              <w:spacing w:after="0" w:line="240" w:lineRule="auto"/>
            </w:pPr>
            <w:r>
              <w:rPr>
                <w:rFonts w:ascii="Times New Roman" w:eastAsia="Times New Roman" w:hAnsi="Times New Roman" w:cs="Times New Roman"/>
                <w:sz w:val="24"/>
              </w:rPr>
              <w:t>------------------------------------------------------------------x</w:t>
            </w:r>
          </w:p>
        </w:tc>
        <w:tc>
          <w:tcPr>
            <w:tcW w:w="291"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5275F3">
            <w:pPr>
              <w:tabs>
                <w:tab w:val="left" w:pos="0"/>
              </w:tabs>
              <w:spacing w:after="0" w:line="240" w:lineRule="auto"/>
              <w:rPr>
                <w:rFonts w:ascii="Calibri" w:eastAsia="Calibri" w:hAnsi="Calibri" w:cs="Calibri"/>
              </w:rPr>
            </w:pPr>
          </w:p>
        </w:tc>
        <w:tc>
          <w:tcPr>
            <w:tcW w:w="2895"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3E6C06">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5275F3" w:rsidRDefault="005275F3">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p>
          <w:p w:rsidR="005275F3" w:rsidRDefault="005275F3">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p>
          <w:p w:rsidR="005275F3" w:rsidRDefault="005275F3">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p>
          <w:p w:rsidR="005275F3" w:rsidRDefault="005275F3">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Case No.    -               (    )</w:t>
            </w:r>
          </w:p>
          <w:p w:rsidR="005275F3" w:rsidRDefault="003E6C06">
            <w:pPr>
              <w:tabs>
                <w:tab w:val="left" w:pos="0"/>
                <w:tab w:val="left" w:pos="720"/>
                <w:tab w:val="left" w:pos="1440"/>
                <w:tab w:val="left" w:pos="2160"/>
                <w:tab w:val="left" w:pos="28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Chapter </w:t>
            </w:r>
          </w:p>
          <w:p w:rsidR="005275F3" w:rsidRDefault="005275F3">
            <w:pPr>
              <w:tabs>
                <w:tab w:val="left" w:pos="0"/>
                <w:tab w:val="left" w:pos="720"/>
                <w:tab w:val="left" w:pos="1440"/>
                <w:tab w:val="left" w:pos="2160"/>
                <w:tab w:val="left" w:pos="2880"/>
              </w:tabs>
              <w:spacing w:after="0" w:line="240" w:lineRule="auto"/>
            </w:pPr>
          </w:p>
        </w:tc>
      </w:tr>
      <w:tr w:rsidR="005275F3">
        <w:trPr>
          <w:trHeight w:val="1"/>
        </w:trPr>
        <w:tc>
          <w:tcPr>
            <w:tcW w:w="5648"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5275F3">
            <w:pPr>
              <w:tabs>
                <w:tab w:val="left" w:pos="0"/>
                <w:tab w:val="left" w:pos="720"/>
                <w:tab w:val="left" w:pos="1440"/>
                <w:tab w:val="left" w:pos="2160"/>
                <w:tab w:val="left" w:pos="2880"/>
                <w:tab w:val="left" w:pos="3600"/>
                <w:tab w:val="left" w:pos="4320"/>
                <w:tab w:val="left" w:pos="5040"/>
                <w:tab w:val="left" w:pos="5760"/>
              </w:tabs>
              <w:spacing w:after="0" w:line="240" w:lineRule="auto"/>
              <w:rPr>
                <w:rFonts w:ascii="Calibri" w:eastAsia="Calibri" w:hAnsi="Calibri" w:cs="Calibri"/>
              </w:rPr>
            </w:pPr>
          </w:p>
        </w:tc>
        <w:tc>
          <w:tcPr>
            <w:tcW w:w="291"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5275F3">
            <w:pPr>
              <w:tabs>
                <w:tab w:val="left" w:pos="0"/>
              </w:tabs>
              <w:spacing w:after="0" w:line="240" w:lineRule="auto"/>
              <w:rPr>
                <w:rFonts w:ascii="Calibri" w:eastAsia="Calibri" w:hAnsi="Calibri" w:cs="Calibri"/>
              </w:rPr>
            </w:pPr>
          </w:p>
        </w:tc>
        <w:tc>
          <w:tcPr>
            <w:tcW w:w="2895"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rsidR="005275F3" w:rsidRDefault="005275F3">
            <w:pPr>
              <w:tabs>
                <w:tab w:val="left" w:pos="0"/>
                <w:tab w:val="left" w:pos="720"/>
                <w:tab w:val="left" w:pos="1440"/>
                <w:tab w:val="left" w:pos="2160"/>
                <w:tab w:val="left" w:pos="2880"/>
              </w:tabs>
              <w:spacing w:after="0" w:line="240" w:lineRule="auto"/>
              <w:rPr>
                <w:rFonts w:ascii="Calibri" w:eastAsia="Calibri" w:hAnsi="Calibri" w:cs="Calibri"/>
              </w:rPr>
            </w:pPr>
          </w:p>
        </w:tc>
      </w:tr>
    </w:tbl>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SLM ORDER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 SLM Request</w:t>
      </w: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was filed on </w:t>
      </w:r>
      <w:r>
        <w:rPr>
          <w:rFonts w:ascii="Times New Roman" w:eastAsia="Times New Roman" w:hAnsi="Times New Roman" w:cs="Times New Roman"/>
          <w:i/>
          <w:sz w:val="24"/>
        </w:rPr>
        <w:t>[Date]</w:t>
      </w:r>
      <w:r>
        <w:rPr>
          <w:rFonts w:ascii="Times New Roman" w:eastAsia="Times New Roman" w:hAnsi="Times New Roman" w:cs="Times New Roman"/>
          <w:sz w:val="24"/>
        </w:rPr>
        <w:t xml:space="preserve"> _____________, 20__;</w:t>
      </w:r>
    </w:p>
    <w:p w:rsidR="005275F3" w:rsidRDefault="005275F3">
      <w:pPr>
        <w:tabs>
          <w:tab w:val="left" w:pos="0"/>
          <w:tab w:val="left" w:pos="720"/>
          <w:tab w:val="left" w:pos="1710"/>
          <w:tab w:val="left" w:pos="2880"/>
          <w:tab w:val="left" w:pos="3600"/>
          <w:tab w:val="left" w:pos="4320"/>
          <w:tab w:val="left" w:pos="5040"/>
          <w:tab w:val="left" w:pos="5760"/>
          <w:tab w:val="left" w:pos="6480"/>
          <w:tab w:val="left" w:pos="7200"/>
          <w:tab w:val="left" w:pos="7920"/>
        </w:tabs>
        <w:spacing w:after="0" w:line="240" w:lineRule="auto"/>
        <w:ind w:left="990" w:hanging="990"/>
        <w:rPr>
          <w:rFonts w:ascii="Times New Roman" w:eastAsia="Times New Roman" w:hAnsi="Times New Roman" w:cs="Times New Roman"/>
          <w:sz w:val="24"/>
        </w:rPr>
      </w:pPr>
    </w:p>
    <w:p w:rsidR="005275F3" w:rsidRDefault="003E6C06">
      <w:pPr>
        <w:tabs>
          <w:tab w:val="left" w:pos="0"/>
          <w:tab w:val="left" w:pos="720"/>
          <w:tab w:val="left" w:pos="1710"/>
          <w:tab w:val="left" w:pos="2880"/>
          <w:tab w:val="left" w:pos="3600"/>
          <w:tab w:val="left" w:pos="4320"/>
          <w:tab w:val="left" w:pos="5040"/>
          <w:tab w:val="left" w:pos="5760"/>
          <w:tab w:val="left" w:pos="6480"/>
          <w:tab w:val="left" w:pos="7200"/>
          <w:tab w:val="left" w:pos="792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Pursuant to the SLM Program Procedures, the parties have had notice and an opportunity to object, and [there has been no objection] [the objection to the request has been denied].  Upon the foregoing, it is hereby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b/>
        <w:t>ORDERED</w:t>
      </w:r>
      <w:r>
        <w:rPr>
          <w:rFonts w:ascii="Times New Roman" w:eastAsia="Times New Roman" w:hAnsi="Times New Roman" w:cs="Times New Roman"/>
          <w:sz w:val="24"/>
        </w:rPr>
        <w:t xml:space="preserve">, that the following SLM Parties are directed to participate in SLM on the Loan ending in </w:t>
      </w:r>
      <w:r>
        <w:rPr>
          <w:rFonts w:ascii="Times New Roman" w:eastAsia="Times New Roman" w:hAnsi="Times New Roman" w:cs="Times New Roman"/>
          <w:i/>
          <w:sz w:val="24"/>
        </w:rPr>
        <w:t>[last four (4) digits of account number]</w:t>
      </w:r>
      <w:r>
        <w:rPr>
          <w:rFonts w:ascii="Times New Roman" w:eastAsia="Times New Roman" w:hAnsi="Times New Roman" w:cs="Times New Roman"/>
          <w:sz w:val="24"/>
        </w:rPr>
        <w:t>:</w:t>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1. The Debtor, </w:t>
      </w:r>
      <w:r>
        <w:rPr>
          <w:rFonts w:ascii="Times New Roman" w:eastAsia="Times New Roman" w:hAnsi="Times New Roman" w:cs="Times New Roman"/>
          <w:i/>
          <w:sz w:val="24"/>
        </w:rPr>
        <w:t>[name of Debtor]</w:t>
      </w:r>
      <w:r>
        <w:rPr>
          <w:rFonts w:ascii="Times New Roman" w:eastAsia="Times New Roman" w:hAnsi="Times New Roman" w:cs="Times New Roman"/>
          <w:sz w:val="24"/>
        </w:rPr>
        <w:t xml:space="preserve">;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2. The Creditor, </w:t>
      </w:r>
      <w:r>
        <w:rPr>
          <w:rFonts w:ascii="Times New Roman" w:eastAsia="Times New Roman" w:hAnsi="Times New Roman" w:cs="Times New Roman"/>
          <w:i/>
          <w:sz w:val="24"/>
        </w:rPr>
        <w:t>[name of Creditor]</w:t>
      </w:r>
      <w:r w:rsidR="0066170E">
        <w:rPr>
          <w:rFonts w:ascii="Times New Roman" w:eastAsia="Times New Roman" w:hAnsi="Times New Roman" w:cs="Times New Roman"/>
          <w:i/>
          <w:sz w:val="24"/>
        </w:rPr>
        <w:t xml:space="preserve">, </w:t>
      </w:r>
      <w:r w:rsidR="0066170E" w:rsidRPr="0066170E">
        <w:rPr>
          <w:rFonts w:ascii="Times New Roman" w:eastAsia="Times New Roman" w:hAnsi="Times New Roman" w:cs="Times New Roman"/>
          <w:sz w:val="24"/>
        </w:rPr>
        <w:t>The Servicer,</w:t>
      </w:r>
      <w:r w:rsidR="0066170E">
        <w:rPr>
          <w:rFonts w:ascii="Times New Roman" w:eastAsia="Times New Roman" w:hAnsi="Times New Roman" w:cs="Times New Roman"/>
          <w:i/>
          <w:sz w:val="24"/>
        </w:rPr>
        <w:t xml:space="preserve"> [Name of Servicer] </w:t>
      </w:r>
      <w:r>
        <w:rPr>
          <w:rFonts w:ascii="Times New Roman" w:eastAsia="Times New Roman" w:hAnsi="Times New Roman" w:cs="Times New Roman"/>
          <w:sz w:val="24"/>
        </w:rPr>
        <w:t xml:space="preserve">with respect to </w:t>
      </w:r>
      <w:r>
        <w:rPr>
          <w:rFonts w:ascii="Times New Roman" w:eastAsia="Times New Roman" w:hAnsi="Times New Roman" w:cs="Times New Roman"/>
          <w:i/>
          <w:sz w:val="24"/>
        </w:rPr>
        <w:t>[borrower/obligor’s name]</w:t>
      </w:r>
      <w:r>
        <w:rPr>
          <w:rFonts w:ascii="Times New Roman" w:eastAsia="Times New Roman" w:hAnsi="Times New Roman" w:cs="Times New Roman"/>
          <w:sz w:val="24"/>
        </w:rPr>
        <w:t>; and</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3.  Any additional non-SLM Parties (as applicable). </w:t>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that the SLM Parties shall comply with the Southern District of New York SLM Program Procedures; and it is further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xml:space="preserve">, that the SLM Parties are required to communicate but nothing in this Order should be construed as compelling any SLM Party to offer or accept any settlement terms except on a voluntary basis; and it is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that the SLM Parties shall observe the following deadlines:</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p>
    <w:p w:rsidR="005275F3" w:rsidRDefault="003E6C0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Within 7 days of the entry of this Order</w:t>
      </w:r>
      <w:r>
        <w:rPr>
          <w:rFonts w:ascii="Times New Roman" w:eastAsia="Times New Roman" w:hAnsi="Times New Roman" w:cs="Times New Roman"/>
          <w:sz w:val="24"/>
        </w:rPr>
        <w:t>: this Order must be served pursuant to the SLM Program Procedures and an affidavit of service must be filed on the Court’s Electronic Case Filing System (“ECF”).</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b/>
          <w:sz w:val="24"/>
        </w:rPr>
      </w:pPr>
    </w:p>
    <w:p w:rsidR="005275F3" w:rsidRDefault="003E6C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If the Debtor seeks Student Loan Repayment Option relief, the Debtor’s Student Loan</w:t>
      </w:r>
      <w:r w:rsidR="00694DB5">
        <w:rPr>
          <w:rFonts w:ascii="Times New Roman" w:eastAsia="Times New Roman" w:hAnsi="Times New Roman" w:cs="Times New Roman"/>
          <w:sz w:val="24"/>
        </w:rPr>
        <w:t xml:space="preserve"> Application </w:t>
      </w:r>
      <w:r>
        <w:rPr>
          <w:rFonts w:ascii="Times New Roman" w:eastAsia="Times New Roman" w:hAnsi="Times New Roman" w:cs="Times New Roman"/>
          <w:sz w:val="24"/>
        </w:rPr>
        <w:t>portal results must be included with the service of this Order.</w:t>
      </w:r>
    </w:p>
    <w:p w:rsidR="005275F3" w:rsidRDefault="003E6C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5275F3" w:rsidRDefault="003E6C0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Within 14 days of the service of this SLM Order:</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rPr>
      </w:pPr>
    </w:p>
    <w:p w:rsidR="005275F3" w:rsidRDefault="003E6C0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hanging="360"/>
        <w:jc w:val="both"/>
        <w:rPr>
          <w:rFonts w:ascii="Times New Roman" w:eastAsia="Times New Roman" w:hAnsi="Times New Roman" w:cs="Times New Roman"/>
          <w:sz w:val="24"/>
        </w:rPr>
      </w:pPr>
      <w:r>
        <w:rPr>
          <w:rFonts w:ascii="Times New Roman" w:eastAsia="Times New Roman" w:hAnsi="Times New Roman" w:cs="Times New Roman"/>
          <w:b/>
          <w:sz w:val="24"/>
          <w:u w:val="single"/>
        </w:rPr>
        <w:t>Designation of Contact Persons:</w:t>
      </w:r>
      <w:r>
        <w:rPr>
          <w:rFonts w:ascii="Times New Roman" w:eastAsia="Times New Roman" w:hAnsi="Times New Roman" w:cs="Times New Roman"/>
          <w:sz w:val="24"/>
        </w:rPr>
        <w:t xml:space="preserve"> Each SLM Party shall designate contact persons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and disclose contact information, and file such information with the Court. As part of this obligation,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 xml:space="preserve"> shall furnish each SLM Party with written notice of the name, address and direct telephone number of the person who has </w:t>
      </w:r>
      <w:r>
        <w:rPr>
          <w:rFonts w:ascii="Times New Roman" w:eastAsia="Times New Roman" w:hAnsi="Times New Roman" w:cs="Times New Roman"/>
          <w:b/>
          <w:sz w:val="24"/>
        </w:rPr>
        <w:t>FULL</w:t>
      </w:r>
      <w:r>
        <w:rPr>
          <w:rFonts w:ascii="Times New Roman" w:eastAsia="Times New Roman" w:hAnsi="Times New Roman" w:cs="Times New Roman"/>
          <w:sz w:val="24"/>
        </w:rPr>
        <w:t xml:space="preserve"> settlement authority on the loan in question as well as the attorney or law firm representing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 xml:space="preserve"> in the SLM; and </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rPr>
      </w:pPr>
    </w:p>
    <w:p w:rsidR="005275F3" w:rsidRDefault="003E6C0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hanging="360"/>
        <w:jc w:val="both"/>
        <w:rPr>
          <w:rFonts w:ascii="Times New Roman" w:eastAsia="Times New Roman" w:hAnsi="Times New Roman" w:cs="Times New Roman"/>
          <w:sz w:val="24"/>
        </w:rPr>
      </w:pPr>
      <w:r>
        <w:rPr>
          <w:rFonts w:ascii="Times New Roman" w:eastAsia="Times New Roman" w:hAnsi="Times New Roman" w:cs="Times New Roman"/>
          <w:b/>
          <w:sz w:val="24"/>
          <w:u w:val="single"/>
        </w:rPr>
        <w:t>Creditor</w:t>
      </w:r>
      <w:r w:rsidR="00BE2DE7">
        <w:rPr>
          <w:rFonts w:ascii="Times New Roman" w:eastAsia="Times New Roman" w:hAnsi="Times New Roman" w:cs="Times New Roman"/>
          <w:b/>
          <w:sz w:val="24"/>
          <w:u w:val="single"/>
        </w:rPr>
        <w:t>/Servicer</w:t>
      </w:r>
      <w:r>
        <w:rPr>
          <w:rFonts w:ascii="Times New Roman" w:eastAsia="Times New Roman" w:hAnsi="Times New Roman" w:cs="Times New Roman"/>
          <w:b/>
          <w:sz w:val="24"/>
          <w:u w:val="single"/>
        </w:rPr>
        <w:t xml:space="preserve"> SLM Affidavit:</w:t>
      </w:r>
      <w:r>
        <w:rPr>
          <w:rFonts w:ascii="Times New Roman" w:eastAsia="Times New Roman" w:hAnsi="Times New Roman" w:cs="Times New Roman"/>
          <w:sz w:val="24"/>
        </w:rPr>
        <w:t xml:space="preserve">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 xml:space="preserve"> shall serve upon the Debtor and Debtor’s attorney an affidavit attaching its Initial SLM Package and file proof of service of same on ECF.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 xml:space="preserve"> may designate its contact and attorney in the affidavit.</w:t>
      </w:r>
    </w:p>
    <w:p w:rsidR="005275F3" w:rsidRDefault="005275F3">
      <w:pPr>
        <w:spacing w:after="0" w:line="240" w:lineRule="auto"/>
        <w:ind w:left="720"/>
        <w:rPr>
          <w:rFonts w:ascii="Times New Roman" w:eastAsia="Times New Roman" w:hAnsi="Times New Roman" w:cs="Times New Roman"/>
          <w:sz w:val="24"/>
        </w:rPr>
      </w:pPr>
    </w:p>
    <w:p w:rsidR="005275F3" w:rsidRDefault="003E6C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jc w:val="both"/>
        <w:rPr>
          <w:rFonts w:ascii="Times New Roman" w:eastAsia="Times New Roman" w:hAnsi="Times New Roman" w:cs="Times New Roman"/>
          <w:sz w:val="24"/>
        </w:rPr>
      </w:pPr>
      <w:r>
        <w:rPr>
          <w:rFonts w:ascii="Times New Roman" w:eastAsia="Times New Roman" w:hAnsi="Times New Roman" w:cs="Times New Roman"/>
          <w:sz w:val="24"/>
        </w:rPr>
        <w:t>If the Debtor seeks Student Loan Repayment Option relief and has served Debtor’s Student Loan</w:t>
      </w:r>
      <w:r w:rsidR="009C5ABF">
        <w:rPr>
          <w:rFonts w:ascii="Times New Roman" w:eastAsia="Times New Roman" w:hAnsi="Times New Roman" w:cs="Times New Roman"/>
          <w:sz w:val="24"/>
        </w:rPr>
        <w:t xml:space="preserve"> Application</w:t>
      </w:r>
      <w:r>
        <w:rPr>
          <w:rFonts w:ascii="Times New Roman" w:eastAsia="Times New Roman" w:hAnsi="Times New Roman" w:cs="Times New Roman"/>
          <w:sz w:val="24"/>
        </w:rPr>
        <w:t xml:space="preserve"> portal results, the Initial SLM Package shall include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’s reasonably detailed response to such analysis.</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rPr>
      </w:pPr>
    </w:p>
    <w:p w:rsidR="005275F3" w:rsidRDefault="003E6C0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Within 14 days of the service of the Creditor SLM Affidavit:</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rPr>
      </w:pPr>
    </w:p>
    <w:p w:rsidR="005275F3" w:rsidRDefault="003E6C06">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hanging="360"/>
        <w:jc w:val="both"/>
        <w:rPr>
          <w:rFonts w:ascii="Times New Roman" w:eastAsia="Times New Roman" w:hAnsi="Times New Roman" w:cs="Times New Roman"/>
          <w:sz w:val="24"/>
        </w:rPr>
      </w:pPr>
      <w:r>
        <w:rPr>
          <w:rFonts w:ascii="Times New Roman" w:eastAsia="Times New Roman" w:hAnsi="Times New Roman" w:cs="Times New Roman"/>
          <w:b/>
          <w:sz w:val="24"/>
          <w:u w:val="single"/>
        </w:rPr>
        <w:t>Debtor SLM Affidavit:</w:t>
      </w:r>
      <w:r>
        <w:rPr>
          <w:rFonts w:ascii="Times New Roman" w:eastAsia="Times New Roman" w:hAnsi="Times New Roman" w:cs="Times New Roman"/>
          <w:sz w:val="24"/>
        </w:rPr>
        <w:t xml:space="preserve"> The Debtor shall serve upon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 xml:space="preserve"> all documents requested in a response to Creditor</w:t>
      </w:r>
      <w:r w:rsidR="000901A8">
        <w:rPr>
          <w:rFonts w:ascii="Times New Roman" w:eastAsia="Times New Roman" w:hAnsi="Times New Roman" w:cs="Times New Roman"/>
          <w:sz w:val="24"/>
        </w:rPr>
        <w:t>/Servicer</w:t>
      </w:r>
      <w:r>
        <w:rPr>
          <w:rFonts w:ascii="Times New Roman" w:eastAsia="Times New Roman" w:hAnsi="Times New Roman" w:cs="Times New Roman"/>
          <w:sz w:val="24"/>
        </w:rPr>
        <w:t>’s request for information and Debtor shall file proof of service of said documents on ECF.  All documents shall be sent in one complete package and served upon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’s designated contact person and the Creditor</w:t>
      </w:r>
      <w:r w:rsidR="00BE2DE7">
        <w:rPr>
          <w:rFonts w:ascii="Times New Roman" w:eastAsia="Times New Roman" w:hAnsi="Times New Roman" w:cs="Times New Roman"/>
          <w:sz w:val="24"/>
        </w:rPr>
        <w:t>/Servicer</w:t>
      </w:r>
      <w:r>
        <w:rPr>
          <w:rFonts w:ascii="Times New Roman" w:eastAsia="Times New Roman" w:hAnsi="Times New Roman" w:cs="Times New Roman"/>
          <w:sz w:val="24"/>
        </w:rPr>
        <w:t>’s attorney; provided that if the Debtor cannot include a requested document in such package, an explanation and timeline for its production shall be included.</w:t>
      </w:r>
    </w:p>
    <w:p w:rsidR="005275F3" w:rsidRDefault="005275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p>
    <w:p w:rsidR="005275F3" w:rsidRDefault="003E6C06">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Within 75 days of service of the SLM Order: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jc w:val="both"/>
        <w:rPr>
          <w:rFonts w:ascii="Times New Roman" w:eastAsia="Times New Roman" w:hAnsi="Times New Roman" w:cs="Times New Roman"/>
          <w:b/>
          <w:sz w:val="24"/>
        </w:rPr>
      </w:pPr>
    </w:p>
    <w:p w:rsidR="005275F3" w:rsidRDefault="003E6C06">
      <w:pPr>
        <w:numPr>
          <w:ilvl w:val="0"/>
          <w:numId w:val="8"/>
        </w:numPr>
        <w:spacing w:after="0" w:line="240" w:lineRule="auto"/>
        <w:ind w:left="1800" w:hanging="360"/>
        <w:rPr>
          <w:rFonts w:ascii="Times New Roman" w:eastAsia="Times New Roman" w:hAnsi="Times New Roman" w:cs="Times New Roman"/>
          <w:sz w:val="24"/>
        </w:rPr>
      </w:pPr>
      <w:r>
        <w:rPr>
          <w:rFonts w:ascii="Times New Roman" w:eastAsia="Times New Roman" w:hAnsi="Times New Roman" w:cs="Times New Roman"/>
          <w:b/>
          <w:sz w:val="24"/>
          <w:u w:val="single"/>
        </w:rPr>
        <w:t>Status Report:</w:t>
      </w:r>
      <w:r>
        <w:rPr>
          <w:rFonts w:ascii="Times New Roman" w:eastAsia="Times New Roman" w:hAnsi="Times New Roman" w:cs="Times New Roman"/>
          <w:sz w:val="24"/>
        </w:rPr>
        <w:t xml:space="preserve"> The SLM Parties shall file a status report in the form of a letter evidencing compliance with this Order and updating the Court on the status of the SLM, including am summary of all communications between the parties.  The status report must be filed at least 7 days before any status conference.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jc w:val="both"/>
        <w:rPr>
          <w:rFonts w:ascii="Times New Roman" w:eastAsia="Times New Roman" w:hAnsi="Times New Roman" w:cs="Times New Roman"/>
          <w:sz w:val="24"/>
        </w:rPr>
      </w:pPr>
      <w:bookmarkStart w:id="0" w:name="_GoBack"/>
      <w:bookmarkEnd w:id="0"/>
    </w:p>
    <w:p w:rsidR="005275F3" w:rsidRDefault="003E6C0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00" w:hanging="360"/>
        <w:jc w:val="both"/>
        <w:rPr>
          <w:rFonts w:ascii="Times New Roman" w:eastAsia="Times New Roman" w:hAnsi="Times New Roman" w:cs="Times New Roman"/>
          <w:sz w:val="24"/>
        </w:rPr>
      </w:pPr>
      <w:r>
        <w:rPr>
          <w:rFonts w:ascii="Times New Roman" w:eastAsia="Times New Roman" w:hAnsi="Times New Roman" w:cs="Times New Roman"/>
          <w:b/>
          <w:sz w:val="24"/>
          <w:u w:val="single"/>
        </w:rPr>
        <w:t>Status Conference: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first status conference shall be held in this case on </w:t>
      </w:r>
      <w:r>
        <w:rPr>
          <w:rFonts w:ascii="Times New Roman" w:eastAsia="Times New Roman" w:hAnsi="Times New Roman" w:cs="Times New Roman"/>
          <w:i/>
          <w:sz w:val="24"/>
        </w:rPr>
        <w:t>[check with chambers or Court’s website for a SLM hearing date within 75 days of the service of this Order]</w:t>
      </w:r>
      <w:r>
        <w:rPr>
          <w:rFonts w:ascii="Times New Roman" w:eastAsia="Times New Roman" w:hAnsi="Times New Roman" w:cs="Times New Roman"/>
          <w:sz w:val="24"/>
        </w:rPr>
        <w:t xml:space="preserve"> at [</w:t>
      </w:r>
      <w:r>
        <w:rPr>
          <w:rFonts w:ascii="Times New Roman" w:eastAsia="Times New Roman" w:hAnsi="Times New Roman" w:cs="Times New Roman"/>
          <w:i/>
          <w:sz w:val="24"/>
        </w:rPr>
        <w:t>time provided by chambers or Court’s website</w:t>
      </w:r>
      <w:r>
        <w:rPr>
          <w:rFonts w:ascii="Times New Roman" w:eastAsia="Times New Roman" w:hAnsi="Times New Roman" w:cs="Times New Roman"/>
          <w:sz w:val="24"/>
        </w:rPr>
        <w:t xml:space="preserve">] </w:t>
      </w:r>
      <w:r>
        <w:rPr>
          <w:rFonts w:ascii="Times New Roman" w:eastAsia="Times New Roman" w:hAnsi="Times New Roman" w:cs="Times New Roman"/>
          <w:i/>
          <w:sz w:val="24"/>
        </w:rPr>
        <w:t>at</w:t>
      </w:r>
      <w:r>
        <w:rPr>
          <w:rFonts w:ascii="Times New Roman" w:eastAsia="Times New Roman" w:hAnsi="Times New Roman" w:cs="Times New Roman"/>
          <w:sz w:val="24"/>
        </w:rPr>
        <w:t xml:space="preserve"> the United States Bankruptcy Court [include full address?] (the “Initial Status Conference”). The SLM Parties shall appear at the Status Conference and provide the Court with a verbal status report.  </w:t>
      </w:r>
      <w:r>
        <w:rPr>
          <w:rFonts w:ascii="Times New Roman" w:eastAsia="Times New Roman" w:hAnsi="Times New Roman" w:cs="Times New Roman"/>
          <w:b/>
          <w:i/>
          <w:sz w:val="24"/>
        </w:rPr>
        <w:t>The Initial Status Conference and any subsequent status conferences cannot be adjourned without permission of the Court, requested on notice to, or based on the consent of the other SLM Parties.</w:t>
      </w:r>
      <w:r>
        <w:rPr>
          <w:rFonts w:ascii="Times New Roman" w:eastAsia="Times New Roman" w:hAnsi="Times New Roman" w:cs="Times New Roman"/>
          <w:sz w:val="24"/>
        </w:rPr>
        <w:t xml:space="preserve">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And it is further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that any matters in the bankruptcy case that are currently pending between the SLM Parties pertaining to the loan in question, may be adjourned by the Court to the date of the Initial Status Conference to the extent those matters concern: (1) relief from the automatic stay, (2) an objection to the allowance of a proof of claim, (3) an adversary proceeding, (4) an objection to confirmation of a plan of reorganization, or (5)</w:t>
      </w:r>
      <w:r>
        <w:rPr>
          <w:rFonts w:ascii="Times New Roman" w:eastAsia="Times New Roman" w:hAnsi="Times New Roman" w:cs="Times New Roman"/>
          <w:sz w:val="20"/>
        </w:rPr>
        <w:t xml:space="preserve"> </w:t>
      </w:r>
      <w:r>
        <w:rPr>
          <w:rFonts w:ascii="Times New Roman" w:eastAsia="Times New Roman" w:hAnsi="Times New Roman" w:cs="Times New Roman"/>
          <w:sz w:val="24"/>
        </w:rPr>
        <w:t>any other matter so scheduled by the Court; and it is further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trike/>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that Creditor</w:t>
      </w:r>
      <w:r w:rsidR="000A5294">
        <w:rPr>
          <w:rFonts w:ascii="Times New Roman" w:eastAsia="Times New Roman" w:hAnsi="Times New Roman" w:cs="Times New Roman"/>
          <w:sz w:val="24"/>
        </w:rPr>
        <w:t xml:space="preserve"> and Servicer</w:t>
      </w:r>
      <w:r>
        <w:rPr>
          <w:rFonts w:ascii="Times New Roman" w:eastAsia="Times New Roman" w:hAnsi="Times New Roman" w:cs="Times New Roman"/>
          <w:sz w:val="24"/>
        </w:rPr>
        <w:t xml:space="preserve"> </w:t>
      </w:r>
      <w:r w:rsidR="000A5294">
        <w:rPr>
          <w:rFonts w:ascii="Times New Roman" w:eastAsia="Times New Roman" w:hAnsi="Times New Roman" w:cs="Times New Roman"/>
          <w:sz w:val="24"/>
        </w:rPr>
        <w:t>are</w:t>
      </w:r>
      <w:r>
        <w:rPr>
          <w:rFonts w:ascii="Times New Roman" w:eastAsia="Times New Roman" w:hAnsi="Times New Roman" w:cs="Times New Roman"/>
          <w:sz w:val="24"/>
        </w:rPr>
        <w:t xml:space="preserve"> authorized and directed to accept </w:t>
      </w:r>
      <w:proofErr w:type="spellStart"/>
      <w:r>
        <w:rPr>
          <w:rFonts w:ascii="Times New Roman" w:eastAsia="Times New Roman" w:hAnsi="Times New Roman" w:cs="Times New Roman"/>
          <w:sz w:val="24"/>
        </w:rPr>
        <w:t>postpetition</w:t>
      </w:r>
      <w:proofErr w:type="spellEnd"/>
      <w:r>
        <w:rPr>
          <w:rFonts w:ascii="Times New Roman" w:eastAsia="Times New Roman" w:hAnsi="Times New Roman" w:cs="Times New Roman"/>
          <w:sz w:val="24"/>
        </w:rPr>
        <w:t xml:space="preserve"> Student Loan payments; provided that in a chapter 11</w:t>
      </w:r>
      <w:r>
        <w:rPr>
          <w:rFonts w:ascii="Times New Roman" w:eastAsia="Times New Roman" w:hAnsi="Times New Roman" w:cs="Times New Roman"/>
          <w:b/>
          <w:sz w:val="24"/>
        </w:rPr>
        <w:t>,</w:t>
      </w:r>
      <w:r>
        <w:rPr>
          <w:rFonts w:ascii="Times New Roman" w:eastAsia="Times New Roman" w:hAnsi="Times New Roman" w:cs="Times New Roman"/>
          <w:sz w:val="24"/>
        </w:rPr>
        <w:t xml:space="preserve"> 12 or 13 case, the Debtor’s plan provides for such payments; provided and subject, further, to possible reallocation of such payments if a plan is </w:t>
      </w:r>
      <w:r>
        <w:rPr>
          <w:rFonts w:ascii="Times New Roman" w:eastAsia="Times New Roman" w:hAnsi="Times New Roman" w:cs="Times New Roman"/>
          <w:i/>
          <w:sz w:val="24"/>
          <w:u w:val="single"/>
        </w:rPr>
        <w:t>not</w:t>
      </w:r>
      <w:r>
        <w:rPr>
          <w:rFonts w:ascii="Times New Roman" w:eastAsia="Times New Roman" w:hAnsi="Times New Roman" w:cs="Times New Roman"/>
          <w:sz w:val="24"/>
        </w:rPr>
        <w:t xml:space="preserve"> confirmed that does not provide for such payments; and it is further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firstLine="720"/>
        <w:jc w:val="both"/>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firstLine="720"/>
        <w:jc w:val="both"/>
        <w:rPr>
          <w:rFonts w:ascii="Times New Roman" w:eastAsia="Times New Roman" w:hAnsi="Times New Roman" w:cs="Times New Roman"/>
          <w:strike/>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xml:space="preserve"> that the automatic stay is hereby lifted to permit the foregoing payments as well as the SLM Parties’ conversations/communication/proposals about the Student Loan; and it is further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trike/>
          <w:sz w:val="24"/>
        </w:rPr>
      </w:pPr>
    </w:p>
    <w:p w:rsidR="005275F3" w:rsidRDefault="003E6C06">
      <w:pPr>
        <w:spacing w:after="0" w:line="240" w:lineRule="auto"/>
        <w:ind w:left="100" w:right="-20"/>
        <w:rPr>
          <w:rFonts w:ascii="Times New Roman" w:eastAsia="Times New Roman" w:hAnsi="Times New Roman" w:cs="Times New Roman"/>
          <w:sz w:val="24"/>
        </w:rPr>
      </w:pPr>
      <w:r>
        <w:rPr>
          <w:rFonts w:ascii="Times New Roman" w:eastAsia="Times New Roman" w:hAnsi="Times New Roman" w:cs="Times New Roman"/>
          <w:b/>
          <w:sz w:val="24"/>
        </w:rPr>
        <w:tab/>
        <w:t>ORDERED,</w:t>
      </w:r>
      <w:r>
        <w:rPr>
          <w:rFonts w:ascii="Times New Roman" w:eastAsia="Times New Roman" w:hAnsi="Times New Roman" w:cs="Times New Roman"/>
          <w:sz w:val="24"/>
        </w:rPr>
        <w:t xml:space="preserve"> that nothing in this Order shall be construed to render dischargeable a debt that would be non-dischargeable under 11 U.S.C. § 523(a)(8</w:t>
      </w:r>
      <w:proofErr w:type="gramStart"/>
      <w:r>
        <w:rPr>
          <w:rFonts w:ascii="Times New Roman" w:eastAsia="Times New Roman" w:hAnsi="Times New Roman" w:cs="Times New Roman"/>
          <w:sz w:val="24"/>
        </w:rPr>
        <w:t>), or</w:t>
      </w:r>
      <w:proofErr w:type="gramEnd"/>
      <w:r>
        <w:rPr>
          <w:rFonts w:ascii="Times New Roman" w:eastAsia="Times New Roman" w:hAnsi="Times New Roman" w:cs="Times New Roman"/>
          <w:sz w:val="24"/>
        </w:rPr>
        <w:t xml:space="preserve"> render non-dischargeable a debt that would be dischargeable under such section.  A discharge in a chapter 7 case shall not be issued and this case shall not be closed until at least 30 days after the entry of the </w:t>
      </w:r>
      <w:r>
        <w:rPr>
          <w:rFonts w:ascii="Times New Roman" w:eastAsia="Times New Roman" w:hAnsi="Times New Roman" w:cs="Times New Roman"/>
          <w:i/>
          <w:sz w:val="24"/>
        </w:rPr>
        <w:t>Order Terminating SLM and Final Report</w:t>
      </w:r>
      <w:r>
        <w:rPr>
          <w:rFonts w:ascii="Times New Roman" w:eastAsia="Times New Roman" w:hAnsi="Times New Roman" w:cs="Times New Roman"/>
          <w:sz w:val="24"/>
        </w:rPr>
        <w:t>; and it is further</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xml:space="preserve">, that the time for each Creditor that is a SLM Party in this case to file an objection to a plan under chapter 11, 12, or 13 of the Bankruptcy Code shall be extended until 14 days after the filing of an </w:t>
      </w:r>
      <w:r>
        <w:rPr>
          <w:rFonts w:ascii="Times New Roman" w:eastAsia="Times New Roman" w:hAnsi="Times New Roman" w:cs="Times New Roman"/>
          <w:i/>
          <w:sz w:val="24"/>
        </w:rPr>
        <w:t>Order Terminating SLM and Final Report</w:t>
      </w:r>
      <w:r>
        <w:rPr>
          <w:rFonts w:ascii="Times New Roman" w:eastAsia="Times New Roman" w:hAnsi="Times New Roman" w:cs="Times New Roman"/>
          <w:sz w:val="24"/>
        </w:rPr>
        <w:t xml:space="preserve">; and it is further </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b/>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ORDERED,</w:t>
      </w:r>
      <w:r>
        <w:rPr>
          <w:rFonts w:ascii="Times New Roman" w:eastAsia="Times New Roman" w:hAnsi="Times New Roman" w:cs="Times New Roman"/>
          <w:sz w:val="24"/>
        </w:rPr>
        <w:t xml:space="preserve"> that upon the conclusion of SLM, the SLM Parties shall be responsible to ensure that the proposed </w:t>
      </w:r>
      <w:r>
        <w:rPr>
          <w:rFonts w:ascii="Times New Roman" w:eastAsia="Times New Roman" w:hAnsi="Times New Roman" w:cs="Times New Roman"/>
          <w:i/>
          <w:sz w:val="24"/>
        </w:rPr>
        <w:t>Order Terminating SLM and Final Report</w:t>
      </w:r>
      <w:r>
        <w:rPr>
          <w:rFonts w:ascii="Times New Roman" w:eastAsia="Times New Roman" w:hAnsi="Times New Roman" w:cs="Times New Roman"/>
          <w:sz w:val="24"/>
        </w:rPr>
        <w:t xml:space="preserve"> is promptly submitted to the Court for entry.</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i/>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Dated:</w:t>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w:t>
      </w:r>
    </w:p>
    <w:p w:rsidR="005275F3" w:rsidRDefault="003E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United States Bankruptcy Judge</w:t>
      </w:r>
    </w:p>
    <w:p w:rsidR="005275F3" w:rsidRDefault="00527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sz w:val="24"/>
        </w:rPr>
      </w:pPr>
    </w:p>
    <w:sectPr w:rsidR="00527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CF9"/>
    <w:multiLevelType w:val="multilevel"/>
    <w:tmpl w:val="29D63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B4B48"/>
    <w:multiLevelType w:val="multilevel"/>
    <w:tmpl w:val="8FF64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D4961"/>
    <w:multiLevelType w:val="multilevel"/>
    <w:tmpl w:val="A6BE4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D502C2"/>
    <w:multiLevelType w:val="multilevel"/>
    <w:tmpl w:val="181A0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31135C"/>
    <w:multiLevelType w:val="multilevel"/>
    <w:tmpl w:val="BBFE8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60BBC"/>
    <w:multiLevelType w:val="multilevel"/>
    <w:tmpl w:val="C6E00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907E4B"/>
    <w:multiLevelType w:val="multilevel"/>
    <w:tmpl w:val="CC100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071142"/>
    <w:multiLevelType w:val="multilevel"/>
    <w:tmpl w:val="64A81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F75456"/>
    <w:multiLevelType w:val="multilevel"/>
    <w:tmpl w:val="470AA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F3"/>
    <w:rsid w:val="000901A8"/>
    <w:rsid w:val="000A5294"/>
    <w:rsid w:val="00187754"/>
    <w:rsid w:val="001F70F5"/>
    <w:rsid w:val="002A7694"/>
    <w:rsid w:val="00386A66"/>
    <w:rsid w:val="003E6C06"/>
    <w:rsid w:val="004A1D16"/>
    <w:rsid w:val="005065F5"/>
    <w:rsid w:val="005275F3"/>
    <w:rsid w:val="0066170E"/>
    <w:rsid w:val="00694DB5"/>
    <w:rsid w:val="00821BDB"/>
    <w:rsid w:val="00867347"/>
    <w:rsid w:val="009762B3"/>
    <w:rsid w:val="009C5ABF"/>
    <w:rsid w:val="00BE2DE7"/>
    <w:rsid w:val="00F0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31268-EF1D-4EDC-B65B-C05071B6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Andino</dc:creator>
  <cp:lastModifiedBy>Eddie Andino</cp:lastModifiedBy>
  <cp:revision>3</cp:revision>
  <dcterms:created xsi:type="dcterms:W3CDTF">2020-01-24T15:51:00Z</dcterms:created>
  <dcterms:modified xsi:type="dcterms:W3CDTF">2020-01-24T15:52:00Z</dcterms:modified>
</cp:coreProperties>
</file>